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left="0" w:firstLine="0" w:firstLineChars="0"/>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2026年温江区教育专网违规</w:t>
      </w:r>
      <w:r>
        <w:rPr>
          <w:rFonts w:hint="eastAsia" w:ascii="方正小标宋简体" w:hAnsi="方正小标宋简体" w:eastAsia="方正小标宋简体" w:cs="方正小标宋简体"/>
          <w:b w:val="0"/>
          <w:bCs/>
          <w:sz w:val="32"/>
          <w:szCs w:val="32"/>
          <w:lang w:val="en-US" w:eastAsia="zh-CN"/>
        </w:rPr>
        <w:t>上网</w:t>
      </w:r>
      <w:r>
        <w:rPr>
          <w:rFonts w:hint="eastAsia" w:ascii="方正小标宋简体" w:hAnsi="方正小标宋简体" w:eastAsia="方正小标宋简体" w:cs="方正小标宋简体"/>
          <w:b w:val="0"/>
          <w:bCs/>
          <w:sz w:val="32"/>
          <w:szCs w:val="32"/>
        </w:rPr>
        <w:t>行为</w:t>
      </w:r>
      <w:r>
        <w:rPr>
          <w:rFonts w:hint="eastAsia" w:ascii="方正小标宋简体" w:hAnsi="方正小标宋简体" w:eastAsia="方正小标宋简体" w:cs="方正小标宋简体"/>
          <w:b w:val="0"/>
          <w:bCs/>
          <w:sz w:val="32"/>
          <w:szCs w:val="32"/>
          <w:lang w:val="en-US" w:eastAsia="zh-CN"/>
        </w:rPr>
        <w:t>监测阻断及</w:t>
      </w:r>
      <w:r>
        <w:rPr>
          <w:rFonts w:hint="eastAsia" w:ascii="方正小标宋简体" w:hAnsi="方正小标宋简体" w:eastAsia="方正小标宋简体" w:cs="方正小标宋简体"/>
          <w:b w:val="0"/>
          <w:bCs/>
          <w:sz w:val="32"/>
          <w:szCs w:val="32"/>
        </w:rPr>
        <w:t>应急</w:t>
      </w:r>
    </w:p>
    <w:p>
      <w:pPr>
        <w:keepNext w:val="0"/>
        <w:keepLines w:val="0"/>
        <w:pageBreakBefore w:val="0"/>
        <w:widowControl w:val="0"/>
        <w:kinsoku/>
        <w:wordWrap/>
        <w:overflowPunct/>
        <w:topLinePunct w:val="0"/>
        <w:autoSpaceDE/>
        <w:autoSpaceDN/>
        <w:bidi w:val="0"/>
        <w:adjustRightInd/>
        <w:snapToGrid w:val="0"/>
        <w:spacing w:line="560" w:lineRule="exact"/>
        <w:ind w:left="0" w:firstLine="0" w:firstLineChars="0"/>
        <w:jc w:val="center"/>
        <w:textAlignment w:val="auto"/>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处置服务</w:t>
      </w:r>
      <w:r>
        <w:rPr>
          <w:rFonts w:hint="eastAsia" w:ascii="方正小标宋简体" w:hAnsi="方正小标宋简体" w:eastAsia="方正小标宋简体" w:cs="方正小标宋简体"/>
          <w:b w:val="0"/>
          <w:bCs/>
          <w:sz w:val="32"/>
          <w:szCs w:val="32"/>
          <w:lang w:val="en-US" w:eastAsia="zh-CN"/>
        </w:rPr>
        <w:t>采购方案</w:t>
      </w:r>
    </w:p>
    <w:p>
      <w:pPr>
        <w:keepNext w:val="0"/>
        <w:keepLines w:val="0"/>
        <w:pageBreakBefore w:val="0"/>
        <w:kinsoku/>
        <w:wordWrap/>
        <w:overflowPunct/>
        <w:topLinePunct w:val="0"/>
        <w:autoSpaceDE/>
        <w:autoSpaceDN/>
        <w:bidi w:val="0"/>
        <w:adjustRightInd/>
        <w:snapToGrid w:val="0"/>
        <w:spacing w:line="360" w:lineRule="auto"/>
        <w:rPr>
          <w:rFonts w:hint="eastAsia" w:ascii="黑体" w:hAnsi="黑体" w:eastAsia="黑体" w:cs="黑体"/>
          <w:b/>
          <w:sz w:val="28"/>
          <w:szCs w:val="28"/>
          <w:lang w:val="en-US" w:eastAsia="zh-CN"/>
        </w:rPr>
      </w:pPr>
    </w:p>
    <w:p>
      <w:pPr>
        <w:keepNext w:val="0"/>
        <w:keepLines w:val="0"/>
        <w:pageBreakBefore w:val="0"/>
        <w:kinsoku/>
        <w:wordWrap/>
        <w:overflowPunct/>
        <w:topLinePunct w:val="0"/>
        <w:autoSpaceDE/>
        <w:autoSpaceDN/>
        <w:bidi w:val="0"/>
        <w:adjustRightInd/>
        <w:snapToGrid w:val="0"/>
        <w:spacing w:line="360" w:lineRule="auto"/>
        <w:rPr>
          <w:rFonts w:hint="eastAsia" w:ascii="黑体" w:hAnsi="黑体" w:eastAsia="黑体" w:cs="黑体"/>
          <w:b/>
          <w:color w:val="000000"/>
          <w:sz w:val="28"/>
          <w:szCs w:val="28"/>
        </w:rPr>
      </w:pPr>
      <w:r>
        <w:rPr>
          <w:rFonts w:hint="eastAsia" w:ascii="黑体" w:hAnsi="黑体" w:eastAsia="黑体" w:cs="黑体"/>
          <w:b/>
          <w:sz w:val="28"/>
          <w:szCs w:val="28"/>
          <w:lang w:val="en-US" w:eastAsia="zh-CN"/>
        </w:rPr>
        <w:t>一</w:t>
      </w:r>
      <w:r>
        <w:rPr>
          <w:rFonts w:hint="eastAsia" w:ascii="黑体" w:hAnsi="黑体" w:eastAsia="黑体" w:cs="黑体"/>
          <w:b/>
          <w:sz w:val="28"/>
          <w:szCs w:val="28"/>
        </w:rPr>
        <w:t>、</w:t>
      </w:r>
      <w:r>
        <w:rPr>
          <w:rFonts w:hint="eastAsia" w:ascii="黑体" w:hAnsi="黑体" w:eastAsia="黑体" w:cs="黑体"/>
          <w:b/>
          <w:sz w:val="28"/>
          <w:szCs w:val="28"/>
          <w:lang w:val="en-US" w:eastAsia="zh-CN"/>
        </w:rPr>
        <w:t>服务</w:t>
      </w:r>
      <w:r>
        <w:rPr>
          <w:rFonts w:hint="eastAsia" w:ascii="黑体" w:hAnsi="黑体" w:eastAsia="黑体" w:cs="黑体"/>
          <w:b/>
          <w:color w:val="000000"/>
          <w:sz w:val="28"/>
          <w:szCs w:val="28"/>
        </w:rPr>
        <w:t>名称及概述</w:t>
      </w:r>
    </w:p>
    <w:p>
      <w:pPr>
        <w:pStyle w:val="10"/>
        <w:keepNext w:val="0"/>
        <w:keepLines w:val="0"/>
        <w:pageBreakBefore w:val="0"/>
        <w:widowControl/>
        <w:kinsoku/>
        <w:wordWrap/>
        <w:overflowPunct/>
        <w:topLinePunct w:val="0"/>
        <w:autoSpaceDE/>
        <w:autoSpaceDN/>
        <w:bidi w:val="0"/>
        <w:adjustRightInd/>
        <w:snapToGrid w:val="0"/>
        <w:spacing w:line="360" w:lineRule="auto"/>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1.1</w:t>
      </w:r>
      <w:r>
        <w:rPr>
          <w:rFonts w:hint="eastAsia" w:ascii="仿宋" w:hAnsi="仿宋" w:eastAsia="仿宋" w:cs="仿宋"/>
          <w:b/>
          <w:bCs/>
          <w:color w:val="000000"/>
          <w:sz w:val="28"/>
          <w:szCs w:val="28"/>
          <w:lang w:val="en-US" w:eastAsia="zh-CN"/>
        </w:rPr>
        <w:t>服务</w:t>
      </w:r>
      <w:r>
        <w:rPr>
          <w:rFonts w:hint="eastAsia" w:ascii="仿宋" w:hAnsi="仿宋" w:eastAsia="仿宋" w:cs="仿宋"/>
          <w:b/>
          <w:bCs/>
          <w:color w:val="000000"/>
          <w:sz w:val="28"/>
          <w:szCs w:val="28"/>
        </w:rPr>
        <w:t>名称</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sz w:val="24"/>
          <w:szCs w:val="24"/>
        </w:rPr>
        <w:t>026年温江区教育专网违规上网行为监测阻断及应急处置服务</w:t>
      </w:r>
    </w:p>
    <w:p>
      <w:pPr>
        <w:pStyle w:val="10"/>
        <w:keepNext w:val="0"/>
        <w:keepLines w:val="0"/>
        <w:pageBreakBefore w:val="0"/>
        <w:widowControl/>
        <w:kinsoku/>
        <w:wordWrap/>
        <w:overflowPunct/>
        <w:topLinePunct w:val="0"/>
        <w:autoSpaceDE/>
        <w:autoSpaceDN/>
        <w:bidi w:val="0"/>
        <w:adjustRightInd/>
        <w:snapToGrid w:val="0"/>
        <w:spacing w:line="360" w:lineRule="auto"/>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1.2采购单位</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成都市温江区教育信息技术服务中心</w:t>
      </w:r>
    </w:p>
    <w:p>
      <w:pPr>
        <w:pStyle w:val="10"/>
        <w:keepNext w:val="0"/>
        <w:keepLines w:val="0"/>
        <w:pageBreakBefore w:val="0"/>
        <w:widowControl/>
        <w:kinsoku/>
        <w:wordWrap/>
        <w:overflowPunct/>
        <w:topLinePunct w:val="0"/>
        <w:autoSpaceDE/>
        <w:autoSpaceDN/>
        <w:bidi w:val="0"/>
        <w:adjustRightInd/>
        <w:snapToGrid w:val="0"/>
        <w:spacing w:line="360" w:lineRule="auto"/>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w:t>
      </w:r>
      <w:r>
        <w:rPr>
          <w:rFonts w:hint="eastAsia" w:ascii="仿宋" w:hAnsi="仿宋" w:eastAsia="仿宋" w:cs="仿宋"/>
          <w:b/>
          <w:bCs/>
          <w:color w:val="000000"/>
          <w:sz w:val="28"/>
          <w:szCs w:val="28"/>
          <w:lang w:val="en-US" w:eastAsia="zh-CN"/>
        </w:rPr>
        <w:t>3服务</w:t>
      </w:r>
      <w:r>
        <w:rPr>
          <w:rFonts w:hint="eastAsia" w:ascii="仿宋" w:hAnsi="仿宋" w:eastAsia="仿宋" w:cs="仿宋"/>
          <w:b/>
          <w:bCs/>
          <w:color w:val="000000"/>
          <w:sz w:val="28"/>
          <w:szCs w:val="28"/>
        </w:rPr>
        <w:t>概述</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温江教育专网初步构建了以区级网络中心为核心，集成防火墙、入侵防御系统（IPS）等多层次纵深防御的技术框架，能够有效保障网络基础安全并抵御常规网络威胁。然而，随着网络技术的发展和应用普及，各类规避网络监管的技术工具不断出现，特别是VPN及各类加密代理软件、境外域名访问等“翻墙”现象日益凸显。近期，监管部门通过现有网络出口的流量监测发现，温江区教育专网内部存在一定数量、持续增长使用商业VPN软件访问境外网络的行为，对教育专网的安全防护构成了严峻挑战。为做好温江区教育专网“翻墙”行为整治工作，拟通过采购服务的方式，实现同步更新、实时监测、及时阻断、精准溯源违规行为，提升网络安全防护能力，构建清朗、安全、可控的教育网络环境。</w:t>
      </w:r>
    </w:p>
    <w:p>
      <w:pPr>
        <w:keepNext w:val="0"/>
        <w:keepLines w:val="0"/>
        <w:pageBreakBefore w:val="0"/>
        <w:kinsoku/>
        <w:wordWrap/>
        <w:overflowPunct/>
        <w:topLinePunct w:val="0"/>
        <w:autoSpaceDE/>
        <w:autoSpaceDN/>
        <w:bidi w:val="0"/>
        <w:adjustRightInd/>
        <w:snapToGrid w:val="0"/>
        <w:spacing w:line="360" w:lineRule="auto"/>
        <w:ind w:firstLine="562" w:firstLineChars="200"/>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lang w:val="en-US" w:eastAsia="zh-CN" w:bidi="ar-SA"/>
        </w:rPr>
        <w:t>1.4经费预算</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9.66万元，财政资金</w:t>
      </w:r>
    </w:p>
    <w:p>
      <w:pPr>
        <w:keepNext w:val="0"/>
        <w:keepLines w:val="0"/>
        <w:pageBreakBefore w:val="0"/>
        <w:kinsoku/>
        <w:wordWrap/>
        <w:overflowPunct/>
        <w:topLinePunct w:val="0"/>
        <w:autoSpaceDE/>
        <w:autoSpaceDN/>
        <w:bidi w:val="0"/>
        <w:adjustRightInd/>
        <w:snapToGrid w:val="0"/>
        <w:spacing w:line="360" w:lineRule="auto"/>
        <w:ind w:firstLine="562" w:firstLineChars="200"/>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lang w:val="en-US" w:eastAsia="zh-CN" w:bidi="ar-SA"/>
        </w:rPr>
        <w:t>1.5服务周期</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color w:val="000000"/>
          <w:sz w:val="28"/>
          <w:szCs w:val="28"/>
        </w:rPr>
      </w:pPr>
      <w:r>
        <w:rPr>
          <w:rFonts w:hint="eastAsia" w:ascii="仿宋" w:hAnsi="仿宋" w:eastAsia="仿宋" w:cs="仿宋"/>
          <w:sz w:val="24"/>
          <w:szCs w:val="24"/>
          <w:lang w:val="en-US" w:eastAsia="zh-CN"/>
        </w:rPr>
        <w:t xml:space="preserve">2026年2月  </w:t>
      </w:r>
      <w:bookmarkStart w:id="5" w:name="_GoBack"/>
      <w:bookmarkEnd w:id="5"/>
      <w:r>
        <w:rPr>
          <w:rFonts w:hint="eastAsia" w:ascii="仿宋" w:hAnsi="仿宋" w:eastAsia="仿宋" w:cs="仿宋"/>
          <w:sz w:val="24"/>
          <w:szCs w:val="24"/>
          <w:lang w:val="en-US" w:eastAsia="zh-CN"/>
        </w:rPr>
        <w:t>日至2026年11月30日</w:t>
      </w:r>
    </w:p>
    <w:p>
      <w:pPr>
        <w:keepNext w:val="0"/>
        <w:keepLines w:val="0"/>
        <w:pageBreakBefore w:val="0"/>
        <w:kinsoku/>
        <w:wordWrap/>
        <w:overflowPunct/>
        <w:topLinePunct w:val="0"/>
        <w:autoSpaceDE/>
        <w:autoSpaceDN/>
        <w:bidi w:val="0"/>
        <w:adjustRightInd/>
        <w:snapToGrid w:val="0"/>
        <w:spacing w:line="360" w:lineRule="auto"/>
        <w:rPr>
          <w:rFonts w:hint="default" w:ascii="黑体" w:hAnsi="黑体" w:eastAsia="黑体" w:cs="黑体"/>
          <w:b w:val="0"/>
          <w:bCs w:val="0"/>
          <w:i w:val="0"/>
          <w:iCs w:val="0"/>
          <w:sz w:val="28"/>
          <w:szCs w:val="28"/>
          <w:lang w:val="en-US" w:eastAsia="zh-CN"/>
        </w:rPr>
      </w:pPr>
      <w:r>
        <w:rPr>
          <w:rFonts w:hint="eastAsia" w:ascii="黑体" w:hAnsi="黑体" w:eastAsia="黑体" w:cs="黑体"/>
          <w:b w:val="0"/>
          <w:bCs w:val="0"/>
          <w:i w:val="0"/>
          <w:iCs w:val="0"/>
          <w:sz w:val="28"/>
          <w:szCs w:val="28"/>
          <w:lang w:val="en-US" w:eastAsia="zh-CN"/>
        </w:rPr>
        <w:t>二</w:t>
      </w:r>
      <w:r>
        <w:rPr>
          <w:rFonts w:hint="eastAsia" w:ascii="黑体" w:hAnsi="黑体" w:eastAsia="黑体" w:cs="黑体"/>
          <w:b w:val="0"/>
          <w:bCs w:val="0"/>
          <w:i w:val="0"/>
          <w:iCs w:val="0"/>
          <w:sz w:val="28"/>
          <w:szCs w:val="28"/>
        </w:rPr>
        <w:t>、</w:t>
      </w:r>
      <w:r>
        <w:rPr>
          <w:rFonts w:hint="eastAsia" w:ascii="黑体" w:hAnsi="黑体" w:eastAsia="黑体" w:cs="黑体"/>
          <w:b w:val="0"/>
          <w:bCs w:val="0"/>
          <w:i w:val="0"/>
          <w:iCs w:val="0"/>
          <w:sz w:val="28"/>
          <w:szCs w:val="28"/>
          <w:lang w:val="en-US" w:eastAsia="zh-CN"/>
        </w:rPr>
        <w:t>服务要求</w:t>
      </w:r>
    </w:p>
    <w:p>
      <w:pPr>
        <w:pStyle w:val="10"/>
        <w:keepNext w:val="0"/>
        <w:keepLines w:val="0"/>
        <w:pageBreakBefore w:val="0"/>
        <w:widowControl/>
        <w:kinsoku/>
        <w:wordWrap/>
        <w:overflowPunct/>
        <w:topLinePunct w:val="0"/>
        <w:autoSpaceDE/>
        <w:autoSpaceDN/>
        <w:bidi w:val="0"/>
        <w:adjustRightInd/>
        <w:snapToGrid w:val="0"/>
        <w:spacing w:line="360" w:lineRule="auto"/>
        <w:ind w:firstLine="562" w:firstLineChars="200"/>
        <w:jc w:val="left"/>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2.1现状分析</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当前教育专网的安全防护体系建设中，温江区已构建了以区级网络中心为核心，集成防火墙、入侵防御系统（IPS）等多层次纵深防御的技术框架，能够有效保障网络基础安全并抵御常规网络威胁。然而，随着网络技术的快速演进，特别是全域加密（如HTTPS）的普及、新型VPN/代理技术的涌现以及安全管理对精准管控与事件溯源的持续深化，现有防护体系在应对新场景时，正面临一系列行业共性的技术挑战与能力升级需求，主要体现在以下三个方面：</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面对全域加密与隐蔽隧道，深度识别与分类管控能力存在瓶颈。现有防护设备主要依据网络层特征和已知协议进行策略控制。当前，大量应用流量及新型隧道技术（如WireGuard、基于标准端口的OpenVPN）均采用高强度加密，其流量特征与正常HTTPS业务高度相似，甚至能通过混淆技术进行伪装。这使得依赖传统方法的系统难以精准区分合法加密访问与隐蔽隧道，也无法对加密通道内的具体行为意图进行有效判定，导致基于应用类型的精细化访问控制策略难以落地。</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在大规模网络地址转换（NAT）环境下，安全事件难以关联至具体用户与终端。各区县教育城域网出口普遍采用NAT技术汇聚访问，导致安全设备日志与策略命中记录中的源地址无法快速精准对应至具体终端或个人。当进行事件分析或策略追溯时，往往需跨系统人工核查，响应效率与精准度面临挑战。现有体系在自动化、高可靠地关联“网络事件”与“行为责任人”快速定位能力需进行技术升级。</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海量安全数据的治理与基于风险的动态响应机制有待完善。一方面，虽然已经满足法规与运营要求安全日志长期留存，但数据量激增使得事后查询效率成为普遍挑战。另一方面，由于对加密流量的行为识别不足，难以建立有效的动态风险评估模型；而依赖静态名单（如IP黑名单）的拦截措施，又因目标资源频繁变更及CDN技术的广泛使用而难以持续生效。</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综上所述，现有安全防护体系已奠定了坚实基础，但在应对“加密流量精准分类”、“事件与身份精准关联”以及“安全数据智能治理与动态响应”这三大前沿挑战时，其能力有待进一步拓展。为构建更智能、更精准的新一代主动防御体系，需聚焦上述关键领域，规划与引入相应的下一代技术能力与解决方案，以持续巩固教育专网的防御与运营水平。</w:t>
      </w:r>
    </w:p>
    <w:p>
      <w:pPr>
        <w:keepNext w:val="0"/>
        <w:keepLines w:val="0"/>
        <w:pageBreakBefore w:val="0"/>
        <w:kinsoku/>
        <w:wordWrap/>
        <w:overflowPunct/>
        <w:topLinePunct w:val="0"/>
        <w:autoSpaceDE/>
        <w:autoSpaceDN/>
        <w:bidi w:val="0"/>
        <w:adjustRightInd/>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2.2服务</w:t>
      </w:r>
      <w:r>
        <w:rPr>
          <w:rFonts w:hint="eastAsia" w:ascii="仿宋" w:hAnsi="仿宋" w:eastAsia="仿宋" w:cs="仿宋"/>
          <w:b/>
          <w:bCs/>
          <w:sz w:val="28"/>
          <w:szCs w:val="28"/>
        </w:rPr>
        <w:t>目标</w:t>
      </w:r>
    </w:p>
    <w:p>
      <w:pPr>
        <w:keepNext w:val="0"/>
        <w:keepLines w:val="0"/>
        <w:pageBreakBefore w:val="0"/>
        <w:kinsoku/>
        <w:wordWrap/>
        <w:overflowPunct/>
        <w:topLinePunct w:val="0"/>
        <w:autoSpaceDE/>
        <w:autoSpaceDN/>
        <w:bidi w:val="0"/>
        <w:adjustRightInd/>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部署专用设备实时更新符合上级监管部门要求的网络安全威胁情报库，实现对温江区教育专网网内VPN及其他代理工具的违规使用行为的实时监测、精准识别，并与温江区教育专网现有相关网络安全设备联动对其实现即时阻断。针对VPN翻墙行为的专项治理需求，对现有网络安全体系支撑能力实施升级改造，重点强化网络行为日志的审计精度与溯源效率，确保网络翻墙行为可追踪、操作可审计、责任可追溯。根据国家情报库实时监测，对日志进行分析，每月提供全面详细的分析报告，并提出针对性整改建议，为规范上网行为、防范风险提供专业技术指导，从而构建清朗、安全、可控的教育网络环境。</w:t>
      </w:r>
    </w:p>
    <w:p>
      <w:pPr>
        <w:keepNext w:val="0"/>
        <w:keepLines w:val="0"/>
        <w:pageBreakBefore w:val="0"/>
        <w:kinsoku/>
        <w:wordWrap/>
        <w:overflowPunct/>
        <w:topLinePunct w:val="0"/>
        <w:autoSpaceDE/>
        <w:autoSpaceDN/>
        <w:bidi w:val="0"/>
        <w:adjustRightInd/>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2.3</w:t>
      </w:r>
      <w:r>
        <w:rPr>
          <w:rFonts w:hint="eastAsia" w:ascii="仿宋" w:hAnsi="仿宋" w:eastAsia="仿宋" w:cs="仿宋"/>
          <w:b/>
          <w:bCs/>
          <w:sz w:val="28"/>
          <w:szCs w:val="28"/>
        </w:rPr>
        <w:t>服务内容</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bookmarkStart w:id="0" w:name="OLE_LINK3"/>
      <w:r>
        <w:rPr>
          <w:rFonts w:hint="eastAsia" w:ascii="仿宋" w:hAnsi="仿宋" w:eastAsia="仿宋" w:cs="仿宋"/>
          <w:sz w:val="24"/>
          <w:szCs w:val="24"/>
          <w:lang w:val="en-US" w:eastAsia="zh-CN"/>
        </w:rPr>
        <w:t>2.3.1 VPN行为监测</w:t>
      </w:r>
      <w:bookmarkEnd w:id="0"/>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分析流量的载荷特征、行为模式、加密握手过程等，实现精准识别各种VPN及代理协议；并提供符合上级监管要求的相应威胁情报库，支撑准确区分出VPN正常行为和违规行为。同时，供应商须提供每周一次且持续的、自动化的协议特征库和威胁情报库更新服务，确保识别能力能够跟上新VPN技术和服务的出现速度。</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bookmarkStart w:id="1" w:name="OLE_LINK11"/>
      <w:r>
        <w:rPr>
          <w:rFonts w:hint="eastAsia" w:ascii="仿宋" w:hAnsi="仿宋" w:eastAsia="仿宋" w:cs="仿宋"/>
          <w:sz w:val="24"/>
          <w:szCs w:val="24"/>
          <w:lang w:val="en-US" w:eastAsia="zh-CN"/>
        </w:rPr>
        <w:t>2.3.2 VPN违规行为阻断</w:t>
      </w:r>
      <w:bookmarkEnd w:id="1"/>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供应商可通过不限于部署配套网络访问控制设备或联动现有网络防火墙等方式，支持基于识别出的VPN违规行为进行一键阻断；支持基于用户身份/用户组、源/目的IP地址、目标域名/URL分类、时间段等条件组合，创建精细化的翻墙阻断策略；提供“白名单”功能，允许特定的、经授权的合法VPN连接（如用于远程办公、学术访问的VPN）通过，确保正常用网需求不受影响。</w:t>
      </w:r>
      <w:bookmarkStart w:id="2" w:name="_Hlk217305607"/>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2.3.3 VPN违规</w:t>
      </w:r>
      <w:bookmarkEnd w:id="2"/>
      <w:r>
        <w:rPr>
          <w:rFonts w:hint="eastAsia" w:ascii="仿宋" w:hAnsi="仿宋" w:eastAsia="仿宋" w:cs="仿宋"/>
          <w:sz w:val="24"/>
          <w:szCs w:val="24"/>
          <w:lang w:val="en-US" w:eastAsia="zh-CN"/>
        </w:rPr>
        <w:t>行为溯源</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确保VPN违规行为发生后能够进行有效的调查与责任认定，需部署专用服务工具作为溯源分析的技术基础。该工具将集中处理关键的翻墙地址转换日志、翻墙URL访问日志及会话日志。当发生违规外联、异常访问等安全事件时，该工具可为管理方提供必要的原始数据支撑，辅助其通过查询、关联与分析，完成从网络行为到具体终端或用户的追溯定位，从而支撑整个安全事件取证与闭环处置流程。</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2.3.4技术支持与安全分析</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VPN违规行为统计报告》服务：需每月出具正式分析报告，根据国家情报库实时监测，对日志进行分析，全面呈现VPN违规行为详情，包括但不限于违规用户分布、使用工具类型、高频访问站点、行为趋势分析等核心内容，且需附带针对性整改建议，为规范VPN使用、防范风险提供专业指导。此外，需配合阶段工作要求，按需补充提交相应分析报告，满足不同阶段的管控与分析需求。</w:t>
      </w:r>
    </w:p>
    <w:p>
      <w:pPr>
        <w:keepNext w:val="0"/>
        <w:keepLines w:val="0"/>
        <w:pageBreakBefore w:val="0"/>
        <w:kinsoku/>
        <w:wordWrap/>
        <w:overflowPunct/>
        <w:topLinePunct w:val="0"/>
        <w:autoSpaceDE/>
        <w:autoSpaceDN/>
        <w:bidi w:val="0"/>
        <w:adjustRightInd/>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2.4</w:t>
      </w:r>
      <w:r>
        <w:rPr>
          <w:rFonts w:hint="eastAsia" w:ascii="仿宋" w:hAnsi="仿宋" w:eastAsia="仿宋" w:cs="仿宋"/>
          <w:b/>
          <w:bCs/>
          <w:sz w:val="28"/>
          <w:szCs w:val="28"/>
        </w:rPr>
        <w:t>服务要求</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2.4.1服务启动</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合同签订后的10日内，供应商完成服务</w:t>
      </w:r>
      <w:bookmarkStart w:id="3" w:name="OLE_LINK18"/>
      <w:r>
        <w:rPr>
          <w:rFonts w:hint="eastAsia" w:ascii="仿宋" w:hAnsi="仿宋" w:eastAsia="仿宋" w:cs="仿宋"/>
          <w:sz w:val="24"/>
          <w:szCs w:val="24"/>
          <w:lang w:val="en-US" w:eastAsia="zh-CN"/>
        </w:rPr>
        <w:t>所需支撑</w:t>
      </w:r>
      <w:bookmarkEnd w:id="3"/>
      <w:r>
        <w:rPr>
          <w:rFonts w:hint="eastAsia" w:ascii="仿宋" w:hAnsi="仿宋" w:eastAsia="仿宋" w:cs="仿宋"/>
          <w:sz w:val="24"/>
          <w:szCs w:val="24"/>
          <w:lang w:val="en-US" w:eastAsia="zh-CN"/>
        </w:rPr>
        <w:t>搭建，提供服务。</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2.4.2工作分工</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采购人负责本项目总协调；向供应商提供所需支撑部署所需IP地址等资源，协调对接现有防火墙、日志审计系统等的接口调试支持。</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（1）按照《项目服务方案》完成配套设备部署或对接现有防火墙，向采购人正常提供VPN违规行为监测、阻断、溯源等服务。</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（2）每月向采购人提供《VPN违规行为统计报告》。</w:t>
      </w:r>
    </w:p>
    <w:p>
      <w:pPr>
        <w:pStyle w:val="10"/>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（3）按本项目要求，向采购人提供相关的技术支付服务。</w:t>
      </w:r>
    </w:p>
    <w:p>
      <w:pPr>
        <w:keepNext w:val="0"/>
        <w:keepLines w:val="0"/>
        <w:pageBreakBefore w:val="0"/>
        <w:kinsoku/>
        <w:wordWrap/>
        <w:overflowPunct/>
        <w:topLinePunct w:val="0"/>
        <w:autoSpaceDE/>
        <w:autoSpaceDN/>
        <w:bidi w:val="0"/>
        <w:adjustRightInd/>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2.5服务清单</w:t>
      </w:r>
    </w:p>
    <w:tbl>
      <w:tblPr>
        <w:tblStyle w:val="8"/>
        <w:tblpPr w:leftFromText="180" w:rightFromText="180" w:vertAnchor="text" w:horzAnchor="page" w:tblpX="1343" w:tblpY="339"/>
        <w:tblOverlap w:val="never"/>
        <w:tblW w:w="9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1743"/>
        <w:gridCol w:w="4104"/>
        <w:gridCol w:w="1228"/>
        <w:gridCol w:w="1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服务项目</w:t>
            </w:r>
          </w:p>
        </w:tc>
        <w:tc>
          <w:tcPr>
            <w:tcW w:w="4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服务内容</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单价（元/月）</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10个月费用（元）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VPN及代理协议识别引擎部署</w:t>
            </w:r>
          </w:p>
        </w:tc>
        <w:tc>
          <w:tcPr>
            <w:tcW w:w="4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基于流量载荷特征、行为模式、加密握手过程实现精准识别各类VPN/代理协议</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2,100</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监管合规威胁情报库订阅</w:t>
            </w:r>
          </w:p>
        </w:tc>
        <w:tc>
          <w:tcPr>
            <w:tcW w:w="4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提供符合上级监管要求的威胁情报库，用于区分正常与违规VPN行为</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特征库与威胁情报自动更新服务</w:t>
            </w:r>
          </w:p>
        </w:tc>
        <w:tc>
          <w:tcPr>
            <w:tcW w:w="4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定期自动化更新协议特征库及符合监管要求的威胁情报库，确保识别能力持续有效</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精细化阻断策略配置支持</w:t>
            </w:r>
          </w:p>
        </w:tc>
        <w:tc>
          <w:tcPr>
            <w:tcW w:w="4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支持基于用户/组、IP、域名、时间段等多维条件组合创建阻断策略</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合法VPN白名单管理服务</w:t>
            </w:r>
          </w:p>
        </w:tc>
        <w:tc>
          <w:tcPr>
            <w:tcW w:w="4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配置并维护授权白名单（如远程办公、学术访问等），保障合规业务通行</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550</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阻断执行联动接口服务</w:t>
            </w:r>
          </w:p>
        </w:tc>
        <w:tc>
          <w:tcPr>
            <w:tcW w:w="4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通过策略通道联动现有防火墙/网络设备，实现翻墙行为一键阻断</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审计溯源工具部署服务</w:t>
            </w:r>
          </w:p>
        </w:tc>
        <w:tc>
          <w:tcPr>
            <w:tcW w:w="4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highlight w:val="none"/>
                <w:u w:val="none"/>
                <w:lang w:val="en-US" w:eastAsia="zh-CN" w:bidi="ar"/>
              </w:rPr>
              <w:t>提供专用服务工具集中处理关键的翻墙网络地址转换日志，采集、解析并结构化网络地址转换日志，支撑用户级行为追溯</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1,800</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URL与会话日志关联分析服务</w:t>
            </w:r>
          </w:p>
        </w:tc>
        <w:tc>
          <w:tcPr>
            <w:tcW w:w="4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实现多源日志关联分析，支持从网络外联行为分析判断，发生异常访问等安全事件时，为管理方提供必要的原始数据支撑</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950</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7×24小时应急处置技术支持</w:t>
            </w:r>
          </w:p>
        </w:tc>
        <w:tc>
          <w:tcPr>
            <w:tcW w:w="4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7×24小时应急响应服务：接到监管部门通报或采购人通知后，1小时内响应，协助开展违规行为溯源、日志提取、证据固定等操作</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8"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VPN违规行为统计手工报告分析</w:t>
            </w:r>
          </w:p>
        </w:tc>
        <w:tc>
          <w:tcPr>
            <w:tcW w:w="4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每月手工出具正式分析报告，根据国家情报库实时监测，对日志进行分析手工输出分析报告。需全面呈现VPN违规行为详情，</w:t>
            </w:r>
            <w:r>
              <w:rPr>
                <w:rFonts w:hint="eastAsia" w:ascii="仿宋" w:hAnsi="仿宋" w:eastAsia="仿宋" w:cs="仿宋"/>
                <w:i w:val="0"/>
                <w:iCs w:val="0"/>
                <w:color w:val="000000"/>
                <w:kern w:val="0"/>
                <w:sz w:val="21"/>
                <w:szCs w:val="21"/>
                <w:highlight w:val="none"/>
                <w:u w:val="none"/>
                <w:lang w:val="en-US" w:eastAsia="zh-CN" w:bidi="ar"/>
              </w:rPr>
              <w:t>且需附带针对性整改建议，并</w:t>
            </w:r>
            <w:r>
              <w:rPr>
                <w:rFonts w:hint="eastAsia" w:ascii="仿宋" w:hAnsi="仿宋" w:eastAsia="仿宋" w:cs="仿宋"/>
                <w:i w:val="0"/>
                <w:iCs w:val="0"/>
                <w:color w:val="000000"/>
                <w:kern w:val="0"/>
                <w:sz w:val="21"/>
                <w:szCs w:val="21"/>
                <w:u w:val="none"/>
                <w:lang w:val="en-US" w:eastAsia="zh-CN" w:bidi="ar"/>
              </w:rPr>
              <w:t>按阶段工作要求，按需补充提供相应手工分析报告。</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000000"/>
                <w:sz w:val="21"/>
                <w:szCs w:val="21"/>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 w:hAnsi="仿宋" w:eastAsia="仿宋" w:cs="仿宋"/>
                <w:b/>
                <w:bCs/>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9660</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96,600</w:t>
            </w:r>
          </w:p>
        </w:tc>
      </w:tr>
    </w:tbl>
    <w:p>
      <w:pPr>
        <w:keepNext w:val="0"/>
        <w:keepLines w:val="0"/>
        <w:pageBreakBefore w:val="0"/>
        <w:kinsoku/>
        <w:wordWrap/>
        <w:overflowPunct/>
        <w:topLinePunct w:val="0"/>
        <w:autoSpaceDE/>
        <w:autoSpaceDN/>
        <w:bidi w:val="0"/>
        <w:adjustRightInd/>
        <w:snapToGrid w:val="0"/>
        <w:spacing w:line="360" w:lineRule="auto"/>
        <w:ind w:firstLine="562" w:firstLineChars="200"/>
        <w:rPr>
          <w:rFonts w:hint="eastAsia" w:ascii="仿宋" w:hAnsi="仿宋" w:eastAsia="仿宋" w:cs="仿宋"/>
          <w:b/>
          <w:bCs/>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三、商务及其它要求</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2" w:firstLineChars="200"/>
        <w:jc w:val="left"/>
        <w:textAlignment w:val="center"/>
        <w:rPr>
          <w:rFonts w:hint="eastAsia" w:ascii="仿宋" w:hAnsi="仿宋" w:eastAsia="仿宋" w:cs="仿宋"/>
          <w:i w:val="0"/>
          <w:iCs w:val="0"/>
          <w:color w:val="000000"/>
          <w:kern w:val="0"/>
          <w:sz w:val="28"/>
          <w:szCs w:val="28"/>
          <w:u w:val="none"/>
          <w:lang w:val="en-US" w:eastAsia="zh-CN" w:bidi="ar"/>
        </w:rPr>
      </w:pPr>
      <w:bookmarkStart w:id="4" w:name="_Toc98230698"/>
      <w:r>
        <w:rPr>
          <w:rFonts w:hint="eastAsia" w:ascii="仿宋" w:hAnsi="仿宋" w:eastAsia="仿宋" w:cs="仿宋"/>
          <w:b/>
          <w:bCs/>
          <w:i w:val="0"/>
          <w:iCs w:val="0"/>
          <w:color w:val="000000"/>
          <w:kern w:val="0"/>
          <w:sz w:val="28"/>
          <w:szCs w:val="28"/>
          <w:u w:val="none"/>
          <w:lang w:val="en-US" w:eastAsia="zh-CN" w:bidi="ar"/>
        </w:rPr>
        <w:t>3.1比选方式</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本次比选采用价格比选，最低价中标。</w:t>
      </w:r>
      <w:bookmarkEnd w:id="4"/>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2" w:firstLineChars="200"/>
        <w:jc w:val="left"/>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3.2付款方式</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3.2.1合同签订后采购人向供应商支付合同总额的30%；服务期满6个月支付合同总额的60%；服务商完成所有服务，提供服务完结报告，经采购人确认无问题后支付合同余款10%。</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3.2.2每阶段付款前，供应商应当按照采购人要求提供足额、合法的发票。供应商逾期提供的，采购人有权推迟付款且不承担违约责任。</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MDc3Yzg1ZGY4MzA1ZjIxMThjZDJkZTU4NjY1OTEifQ=="/>
  </w:docVars>
  <w:rsids>
    <w:rsidRoot w:val="35737430"/>
    <w:rsid w:val="0C310DF9"/>
    <w:rsid w:val="1FDE174D"/>
    <w:rsid w:val="2E82508B"/>
    <w:rsid w:val="34B62A6D"/>
    <w:rsid w:val="35737430"/>
    <w:rsid w:val="37277868"/>
    <w:rsid w:val="3809201B"/>
    <w:rsid w:val="3E38236D"/>
    <w:rsid w:val="3EFD0608"/>
    <w:rsid w:val="40947996"/>
    <w:rsid w:val="43485329"/>
    <w:rsid w:val="44CA6317"/>
    <w:rsid w:val="4A5521CF"/>
    <w:rsid w:val="5D916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afterLines="0"/>
    </w:pPr>
    <w:rPr>
      <w:rFonts w:ascii="宋体" w:hAnsi="宋体" w:eastAsia="宋体" w:cs="宋体"/>
    </w:rPr>
  </w:style>
  <w:style w:type="paragraph" w:styleId="3">
    <w:name w:val="Body Text First Indent"/>
    <w:basedOn w:val="2"/>
    <w:qFormat/>
    <w:uiPriority w:val="99"/>
    <w:pPr>
      <w:ind w:firstLine="420" w:firstLineChars="100"/>
    </w:pPr>
    <w:rPr>
      <w:rFonts w:ascii="Times New Roman" w:hAnsi="Times New Roman" w:cs="Times New Roman"/>
      <w:kern w:val="0"/>
      <w:sz w:val="18"/>
      <w:szCs w:val="18"/>
    </w:rPr>
  </w:style>
  <w:style w:type="paragraph" w:styleId="4">
    <w:name w:val="Body Text Indent"/>
    <w:basedOn w:val="1"/>
    <w:qFormat/>
    <w:uiPriority w:val="0"/>
    <w:pPr>
      <w:ind w:firstLine="630"/>
    </w:pPr>
    <w:rPr>
      <w:kern w:val="0"/>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spacing w:after="120" w:afterLines="0"/>
      <w:ind w:left="420" w:leftChars="200" w:firstLine="420" w:firstLineChars="200"/>
    </w:pPr>
    <w:rPr>
      <w:rFonts w:ascii="Calibri" w:hAnsi="Calibri"/>
      <w:kern w:val="2"/>
      <w:sz w:val="21"/>
      <w:szCs w:val="22"/>
    </w:rPr>
  </w:style>
  <w:style w:type="paragraph" w:customStyle="1" w:styleId="10">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1">
    <w:name w:val="List Paragraph"/>
    <w:basedOn w:val="1"/>
    <w:qFormat/>
    <w:uiPriority w:val="34"/>
    <w:pPr>
      <w:ind w:firstLine="420" w:firstLineChars="200"/>
    </w:pPr>
    <w:rPr>
      <w:rFonts w:ascii="Calibri" w:hAnsi="Calibri" w:cs="Times New Roman"/>
    </w:rPr>
  </w:style>
  <w:style w:type="paragraph" w:customStyle="1" w:styleId="12">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3292</Words>
  <Characters>3547</Characters>
  <Lines>0</Lines>
  <Paragraphs>0</Paragraphs>
  <TotalTime>4</TotalTime>
  <ScaleCrop>false</ScaleCrop>
  <LinksUpToDate>false</LinksUpToDate>
  <CharactersWithSpaces>3550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2026-01-26T05:50:00Z</dcterms:created>
  <dc:creator>陈刚</dc:creator>
  <cp:lastModifiedBy>陈刚</cp:lastModifiedBy>
  <dcterms:modified xsi:type="dcterms:W3CDTF">2026-02-02T06:23:03Z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3CBF4436BB4A44F3A0EF6A7C52F6ECA0_11</vt:lpwstr>
  </property>
  <property fmtid="{D5CDD505-2E9C-101B-9397-08002B2CF9AE}" pid="4" name="KSOTemplateDocerSaveRecord">
    <vt:lpwstr>eyJoZGlkIjoiNmNkZjFkYWY0Y2I2M2E0NWVmYTNkYjAzNmU2MmRiM2MiLCJ1c2VySWQiOiIxNDc5MTQ0NTA1In0=</vt:lpwstr>
  </property>
</Properties>
</file>